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宋体" w:hAnsi="宋体" w:eastAsia="宋体" w:cs="宋体"/>
          <w:b/>
          <w:bCs/>
          <w:sz w:val="36"/>
          <w:szCs w:val="36"/>
        </w:rPr>
      </w:pPr>
      <w:bookmarkStart w:id="0" w:name="_GoBack"/>
      <w:bookmarkEnd w:id="0"/>
      <w:r>
        <w:rPr>
          <w:rFonts w:hint="eastAsia" w:ascii="宋体" w:hAnsi="宋体" w:eastAsia="宋体" w:cs="宋体"/>
          <w:b/>
          <w:bCs/>
          <w:sz w:val="36"/>
          <w:szCs w:val="36"/>
        </w:rPr>
        <w:t>关于2019年举办辽宁凤城半程马拉松赛对部分道路（公路）采取临时交通管制的通告</w:t>
      </w:r>
    </w:p>
    <w:p>
      <w:pPr>
        <w:pStyle w:val="14"/>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为庆祝中华人民共和国成立70周年，经凤城市市委市政府批准，将于2019年9月22日（星期日）举行辽宁凤城半程马拉松赛，届时将有全省各个地区的5000名运动员参加比赛。比赛起点设在大梨树村美丽乡村大门，终点为凤凰山山门广场。</w:t>
      </w:r>
    </w:p>
    <w:p>
      <w:pPr>
        <w:pStyle w:val="14"/>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具体比赛路线是：</w:t>
      </w:r>
      <w:r>
        <w:rPr>
          <w:rFonts w:hint="eastAsia" w:asciiTheme="minorEastAsia" w:hAnsiTheme="minorEastAsia" w:eastAsiaTheme="minorEastAsia"/>
          <w:b/>
          <w:sz w:val="28"/>
          <w:szCs w:val="28"/>
        </w:rPr>
        <w:t>由大梨树美丽乡村大门起点</w:t>
      </w:r>
      <w:r>
        <w:rPr>
          <w:rFonts w:hint="eastAsia" w:asciiTheme="minorEastAsia" w:hAnsiTheme="minorEastAsia" w:eastAsiaTheme="minorEastAsia"/>
          <w:sz w:val="28"/>
          <w:szCs w:val="28"/>
        </w:rPr>
        <w:t>——</w:t>
      </w:r>
      <w:r>
        <w:rPr>
          <w:rFonts w:hint="eastAsia" w:asciiTheme="minorEastAsia" w:hAnsiTheme="minorEastAsia" w:eastAsiaTheme="minorEastAsia"/>
          <w:b/>
          <w:sz w:val="28"/>
          <w:szCs w:val="28"/>
        </w:rPr>
        <w:t>青年点饭庄</w:t>
      </w:r>
      <w:r>
        <w:rPr>
          <w:rFonts w:hint="eastAsia" w:asciiTheme="minorEastAsia" w:hAnsiTheme="minorEastAsia" w:eastAsiaTheme="minorEastAsia"/>
          <w:sz w:val="28"/>
          <w:szCs w:val="28"/>
        </w:rPr>
        <w:t>——</w:t>
      </w:r>
      <w:r>
        <w:rPr>
          <w:rFonts w:hint="eastAsia" w:asciiTheme="minorEastAsia" w:hAnsiTheme="minorEastAsia" w:eastAsiaTheme="minorEastAsia"/>
          <w:b/>
          <w:sz w:val="28"/>
          <w:szCs w:val="28"/>
        </w:rPr>
        <w:t>双龙湖左转</w:t>
      </w:r>
      <w:r>
        <w:rPr>
          <w:rFonts w:hint="eastAsia" w:asciiTheme="minorEastAsia" w:hAnsiTheme="minorEastAsia" w:eastAsiaTheme="minorEastAsia"/>
          <w:sz w:val="28"/>
          <w:szCs w:val="28"/>
        </w:rPr>
        <w:t>——</w:t>
      </w:r>
      <w:r>
        <w:rPr>
          <w:rFonts w:hint="eastAsia" w:asciiTheme="minorEastAsia" w:hAnsiTheme="minorEastAsia" w:eastAsiaTheme="minorEastAsia"/>
          <w:b/>
          <w:sz w:val="28"/>
          <w:szCs w:val="28"/>
        </w:rPr>
        <w:t>七彩田园</w:t>
      </w:r>
      <w:r>
        <w:rPr>
          <w:rFonts w:hint="eastAsia" w:asciiTheme="minorEastAsia" w:hAnsiTheme="minorEastAsia" w:eastAsiaTheme="minorEastAsia"/>
          <w:sz w:val="28"/>
          <w:szCs w:val="28"/>
        </w:rPr>
        <w:t>——</w:t>
      </w:r>
      <w:r>
        <w:rPr>
          <w:rFonts w:hint="eastAsia" w:asciiTheme="minorEastAsia" w:hAnsiTheme="minorEastAsia" w:eastAsiaTheme="minorEastAsia"/>
          <w:b/>
          <w:sz w:val="28"/>
          <w:szCs w:val="28"/>
        </w:rPr>
        <w:t>葡萄城</w:t>
      </w:r>
      <w:r>
        <w:rPr>
          <w:rFonts w:hint="eastAsia" w:asciiTheme="minorEastAsia" w:hAnsiTheme="minorEastAsia" w:eastAsiaTheme="minorEastAsia"/>
          <w:sz w:val="28"/>
          <w:szCs w:val="28"/>
        </w:rPr>
        <w:t>——</w:t>
      </w:r>
      <w:r>
        <w:rPr>
          <w:rFonts w:hint="eastAsia" w:asciiTheme="minorEastAsia" w:hAnsiTheme="minorEastAsia" w:eastAsiaTheme="minorEastAsia"/>
          <w:b/>
          <w:sz w:val="28"/>
          <w:szCs w:val="28"/>
        </w:rPr>
        <w:t>小西湖</w:t>
      </w:r>
      <w:r>
        <w:rPr>
          <w:rFonts w:hint="eastAsia" w:asciiTheme="minorEastAsia" w:hAnsiTheme="minorEastAsia" w:eastAsiaTheme="minorEastAsia"/>
          <w:sz w:val="28"/>
          <w:szCs w:val="28"/>
        </w:rPr>
        <w:t>——</w:t>
      </w:r>
      <w:r>
        <w:rPr>
          <w:rFonts w:hint="eastAsia" w:asciiTheme="minorEastAsia" w:hAnsiTheme="minorEastAsia" w:eastAsiaTheme="minorEastAsia"/>
          <w:b/>
          <w:sz w:val="28"/>
          <w:szCs w:val="28"/>
        </w:rPr>
        <w:t>干字广场天桥</w:t>
      </w:r>
      <w:r>
        <w:rPr>
          <w:rFonts w:hint="eastAsia" w:asciiTheme="minorEastAsia" w:hAnsiTheme="minorEastAsia" w:eastAsiaTheme="minorEastAsia"/>
          <w:sz w:val="28"/>
          <w:szCs w:val="28"/>
        </w:rPr>
        <w:t>——</w:t>
      </w:r>
      <w:r>
        <w:rPr>
          <w:rFonts w:hint="eastAsia" w:asciiTheme="minorEastAsia" w:hAnsiTheme="minorEastAsia" w:eastAsiaTheme="minorEastAsia"/>
          <w:b/>
          <w:sz w:val="28"/>
          <w:szCs w:val="28"/>
        </w:rPr>
        <w:t>龙母湖篮球场</w:t>
      </w:r>
      <w:r>
        <w:rPr>
          <w:rFonts w:hint="eastAsia" w:asciiTheme="minorEastAsia" w:hAnsiTheme="minorEastAsia" w:eastAsiaTheme="minorEastAsia"/>
          <w:sz w:val="28"/>
          <w:szCs w:val="28"/>
        </w:rPr>
        <w:t>——</w:t>
      </w:r>
      <w:r>
        <w:rPr>
          <w:rFonts w:hint="eastAsia" w:asciiTheme="minorEastAsia" w:hAnsiTheme="minorEastAsia" w:eastAsiaTheme="minorEastAsia"/>
          <w:b/>
          <w:sz w:val="28"/>
          <w:szCs w:val="28"/>
        </w:rPr>
        <w:t>大梨树酒厂</w:t>
      </w:r>
      <w:r>
        <w:rPr>
          <w:rFonts w:hint="eastAsia" w:asciiTheme="minorEastAsia" w:hAnsiTheme="minorEastAsia" w:eastAsiaTheme="minorEastAsia"/>
          <w:sz w:val="28"/>
          <w:szCs w:val="28"/>
        </w:rPr>
        <w:t>——</w:t>
      </w:r>
      <w:r>
        <w:rPr>
          <w:rFonts w:hint="eastAsia" w:asciiTheme="minorEastAsia" w:hAnsiTheme="minorEastAsia" w:eastAsiaTheme="minorEastAsia"/>
          <w:b/>
          <w:sz w:val="28"/>
          <w:szCs w:val="28"/>
        </w:rPr>
        <w:t>大梨树大门</w:t>
      </w:r>
      <w:r>
        <w:rPr>
          <w:rFonts w:hint="eastAsia" w:asciiTheme="minorEastAsia" w:hAnsiTheme="minorEastAsia" w:eastAsiaTheme="minorEastAsia"/>
          <w:sz w:val="28"/>
          <w:szCs w:val="28"/>
        </w:rPr>
        <w:t>——</w:t>
      </w:r>
      <w:r>
        <w:rPr>
          <w:rFonts w:hint="eastAsia" w:asciiTheme="minorEastAsia" w:hAnsiTheme="minorEastAsia" w:eastAsiaTheme="minorEastAsia"/>
          <w:b/>
          <w:sz w:val="28"/>
          <w:szCs w:val="28"/>
        </w:rPr>
        <w:t>饶盖线右转</w:t>
      </w:r>
      <w:r>
        <w:rPr>
          <w:rFonts w:hint="eastAsia" w:asciiTheme="minorEastAsia" w:hAnsiTheme="minorEastAsia" w:eastAsiaTheme="minorEastAsia"/>
          <w:sz w:val="28"/>
          <w:szCs w:val="28"/>
        </w:rPr>
        <w:t>——</w:t>
      </w:r>
      <w:r>
        <w:rPr>
          <w:rFonts w:hint="eastAsia" w:asciiTheme="minorEastAsia" w:hAnsiTheme="minorEastAsia" w:eastAsiaTheme="minorEastAsia"/>
          <w:b/>
          <w:sz w:val="28"/>
          <w:szCs w:val="28"/>
        </w:rPr>
        <w:t>交警车管所</w:t>
      </w:r>
      <w:r>
        <w:rPr>
          <w:rFonts w:hint="eastAsia" w:asciiTheme="minorEastAsia" w:hAnsiTheme="minorEastAsia" w:eastAsiaTheme="minorEastAsia"/>
          <w:sz w:val="28"/>
          <w:szCs w:val="28"/>
        </w:rPr>
        <w:t>——</w:t>
      </w:r>
      <w:r>
        <w:rPr>
          <w:rFonts w:hint="eastAsia" w:asciiTheme="minorEastAsia" w:hAnsiTheme="minorEastAsia" w:eastAsiaTheme="minorEastAsia"/>
          <w:b/>
          <w:sz w:val="28"/>
          <w:szCs w:val="28"/>
        </w:rPr>
        <w:t>工业园区一路右转</w:t>
      </w:r>
      <w:r>
        <w:rPr>
          <w:rFonts w:hint="eastAsia" w:asciiTheme="minorEastAsia" w:hAnsiTheme="minorEastAsia" w:eastAsiaTheme="minorEastAsia"/>
          <w:sz w:val="28"/>
          <w:szCs w:val="28"/>
        </w:rPr>
        <w:t>——</w:t>
      </w:r>
      <w:r>
        <w:rPr>
          <w:rFonts w:hint="eastAsia" w:asciiTheme="minorEastAsia" w:hAnsiTheme="minorEastAsia" w:eastAsiaTheme="minorEastAsia"/>
          <w:b/>
          <w:sz w:val="28"/>
          <w:szCs w:val="28"/>
        </w:rPr>
        <w:t>二边线</w:t>
      </w:r>
      <w:r>
        <w:rPr>
          <w:rFonts w:hint="eastAsia" w:asciiTheme="minorEastAsia" w:hAnsiTheme="minorEastAsia" w:eastAsiaTheme="minorEastAsia"/>
          <w:sz w:val="28"/>
          <w:szCs w:val="28"/>
        </w:rPr>
        <w:t>——</w:t>
      </w:r>
      <w:r>
        <w:rPr>
          <w:rFonts w:hint="eastAsia" w:asciiTheme="minorEastAsia" w:hAnsiTheme="minorEastAsia" w:eastAsiaTheme="minorEastAsia"/>
          <w:b/>
          <w:sz w:val="28"/>
          <w:szCs w:val="28"/>
        </w:rPr>
        <w:t>高速转盘右转</w:t>
      </w:r>
      <w:r>
        <w:rPr>
          <w:rFonts w:hint="eastAsia" w:asciiTheme="minorEastAsia" w:hAnsiTheme="minorEastAsia" w:eastAsiaTheme="minorEastAsia"/>
          <w:sz w:val="28"/>
          <w:szCs w:val="28"/>
        </w:rPr>
        <w:t>——</w:t>
      </w:r>
      <w:r>
        <w:rPr>
          <w:rFonts w:hint="eastAsia" w:asciiTheme="minorEastAsia" w:hAnsiTheme="minorEastAsia" w:eastAsiaTheme="minorEastAsia"/>
          <w:b/>
          <w:sz w:val="28"/>
          <w:szCs w:val="28"/>
        </w:rPr>
        <w:t>滨河路</w:t>
      </w:r>
      <w:r>
        <w:rPr>
          <w:rFonts w:hint="eastAsia" w:asciiTheme="minorEastAsia" w:hAnsiTheme="minorEastAsia" w:eastAsiaTheme="minorEastAsia"/>
          <w:sz w:val="28"/>
          <w:szCs w:val="28"/>
        </w:rPr>
        <w:t>——</w:t>
      </w:r>
      <w:r>
        <w:rPr>
          <w:rFonts w:hint="eastAsia" w:asciiTheme="minorEastAsia" w:hAnsiTheme="minorEastAsia" w:eastAsiaTheme="minorEastAsia"/>
          <w:b/>
          <w:sz w:val="28"/>
          <w:szCs w:val="28"/>
        </w:rPr>
        <w:t>滨河路（信号灯）右转</w:t>
      </w:r>
      <w:r>
        <w:rPr>
          <w:rFonts w:hint="eastAsia" w:asciiTheme="minorEastAsia" w:hAnsiTheme="minorEastAsia" w:eastAsiaTheme="minorEastAsia"/>
          <w:sz w:val="28"/>
          <w:szCs w:val="28"/>
        </w:rPr>
        <w:t>——</w:t>
      </w:r>
      <w:r>
        <w:rPr>
          <w:rFonts w:hint="eastAsia" w:asciiTheme="minorEastAsia" w:hAnsiTheme="minorEastAsia" w:eastAsiaTheme="minorEastAsia"/>
          <w:b/>
          <w:sz w:val="28"/>
          <w:szCs w:val="28"/>
        </w:rPr>
        <w:t>凤凰大道—</w:t>
      </w:r>
      <w:r>
        <w:rPr>
          <w:rFonts w:hint="eastAsia" w:asciiTheme="minorEastAsia" w:hAnsiTheme="minorEastAsia" w:eastAsiaTheme="minorEastAsia"/>
          <w:sz w:val="28"/>
          <w:szCs w:val="28"/>
        </w:rPr>
        <w:t>—</w:t>
      </w:r>
      <w:r>
        <w:rPr>
          <w:rFonts w:hint="eastAsia" w:asciiTheme="minorEastAsia" w:hAnsiTheme="minorEastAsia" w:eastAsiaTheme="minorEastAsia"/>
          <w:b/>
          <w:sz w:val="28"/>
          <w:szCs w:val="28"/>
        </w:rPr>
        <w:t>国道304线（信号灯）左转</w:t>
      </w:r>
      <w:r>
        <w:rPr>
          <w:rFonts w:hint="eastAsia" w:asciiTheme="minorEastAsia" w:hAnsiTheme="minorEastAsia" w:eastAsiaTheme="minorEastAsia"/>
          <w:sz w:val="28"/>
          <w:szCs w:val="28"/>
        </w:rPr>
        <w:t>——</w:t>
      </w:r>
      <w:r>
        <w:rPr>
          <w:rFonts w:hint="eastAsia" w:asciiTheme="minorEastAsia" w:hAnsiTheme="minorEastAsia" w:eastAsiaTheme="minorEastAsia"/>
          <w:b/>
          <w:sz w:val="28"/>
          <w:szCs w:val="28"/>
        </w:rPr>
        <w:t>凤凰山山门广场比赛终点</w:t>
      </w:r>
      <w:r>
        <w:rPr>
          <w:rFonts w:hint="eastAsia" w:asciiTheme="minorEastAsia" w:hAnsiTheme="minorEastAsia" w:eastAsiaTheme="minorEastAsia"/>
          <w:sz w:val="28"/>
          <w:szCs w:val="28"/>
        </w:rPr>
        <w:t>。全程21.0975公里，比赛时间约3小时。</w:t>
      </w:r>
    </w:p>
    <w:p>
      <w:pPr>
        <w:pStyle w:val="14"/>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为保障比赛顺利进行级比赛期间道路交通安全畅通，根据《中华人民共和国道路交通安全法》相关规定，比赛期间将对部分道路（公路）分段采取临时交通管制，现通告如下：</w:t>
      </w:r>
    </w:p>
    <w:p>
      <w:pPr>
        <w:pStyle w:val="14"/>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一、9月22日（星期日）上午8时至12时，道路（公路）除持有“2019辽宁凤城半程马拉松比赛”专用证件的车辆和人员外，其他（含进入景区）一切车辆禁止驶入比赛路段区域。</w:t>
      </w:r>
    </w:p>
    <w:p>
      <w:pPr>
        <w:pStyle w:val="14"/>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（一）国道G229饶盖线（原桓盖线）1648km+100m起（高速公路与饶盖线T型路口信号灯）至1655km（大梨树鑫兴碳素厂大门）止。</w:t>
      </w:r>
    </w:p>
    <w:p>
      <w:pPr>
        <w:pStyle w:val="14"/>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（二）乡道Y656大大线（大梨树至宝山大营子）路段。</w:t>
      </w:r>
    </w:p>
    <w:p>
      <w:pPr>
        <w:pStyle w:val="14"/>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（三）工业园区一路至乡道二边线T型路口左转至高速口转盘路段。</w:t>
      </w:r>
    </w:p>
    <w:p>
      <w:pPr>
        <w:pStyle w:val="14"/>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（四）乡道二张线与滨河路T型路口（华润天然气大门）至张家堡路段。</w:t>
      </w:r>
    </w:p>
    <w:p>
      <w:pPr>
        <w:pStyle w:val="14"/>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（五）高速公路出入口转盘东侧滨河路至二龙山桥头信号灯Y型路口。</w:t>
      </w:r>
    </w:p>
    <w:p>
      <w:pPr>
        <w:pStyle w:val="14"/>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（六）滨河路T型路口（信号灯岗）凤凰大道与国道304线T型路口（信号灯岗）。</w:t>
      </w:r>
    </w:p>
    <w:p>
      <w:pPr>
        <w:pStyle w:val="14"/>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（七）国道304线丹霍公路54km（凤凰山山下信号灯岗）至56km（凤城六中铁路道口）。</w:t>
      </w:r>
    </w:p>
    <w:p>
      <w:pPr>
        <w:pStyle w:val="14"/>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二、上述道路（公路）禁止各种车辆停放，禁止堆放各类物品，确保比赛安全，正常进行。</w:t>
      </w:r>
    </w:p>
    <w:p>
      <w:pPr>
        <w:pStyle w:val="14"/>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行经比赛沿线各交通管制的路口的车辆和行人、非机动车，服从交通民警（各警种民警）和工作人员的指挥，行人不得进入比赛道路（公路），非机动车禁止尾随运动员，遇有马拉松比赛专用车辆和运动员通过时，禁止横穿。</w:t>
      </w:r>
    </w:p>
    <w:p>
      <w:pPr>
        <w:pStyle w:val="14"/>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四、交通管制路段恢复社会通行时间由公安机关交通管理部门根据比赛情况决定。</w:t>
      </w:r>
    </w:p>
    <w:p>
      <w:pPr>
        <w:pStyle w:val="14"/>
        <w:rPr>
          <w:rFonts w:asciiTheme="minorEastAsia" w:hAnsiTheme="minorEastAsia" w:eastAsiaTheme="minorEastAsia"/>
          <w:sz w:val="28"/>
          <w:szCs w:val="28"/>
        </w:rPr>
      </w:pPr>
      <w:r>
        <w:rPr>
          <w:rFonts w:hint="eastAsia" w:asciiTheme="minorEastAsia" w:hAnsiTheme="minorEastAsia" w:eastAsiaTheme="minorEastAsia"/>
          <w:sz w:val="28"/>
          <w:szCs w:val="28"/>
        </w:rPr>
        <w:t>绕行路线：</w:t>
      </w:r>
    </w:p>
    <w:p>
      <w:pPr>
        <w:pStyle w:val="14"/>
        <w:numPr>
          <w:ilvl w:val="0"/>
          <w:numId w:val="1"/>
        </w:numPr>
        <w:rPr>
          <w:rFonts w:asciiTheme="minorEastAsia" w:hAnsiTheme="minorEastAsia" w:eastAsiaTheme="minorEastAsia"/>
          <w:sz w:val="28"/>
          <w:szCs w:val="28"/>
        </w:rPr>
      </w:pPr>
      <w:r>
        <w:rPr>
          <w:rFonts w:hint="eastAsia" w:asciiTheme="minorEastAsia" w:hAnsiTheme="minorEastAsia" w:eastAsiaTheme="minorEastAsia"/>
          <w:sz w:val="28"/>
          <w:szCs w:val="28"/>
        </w:rPr>
        <w:t>外阜车辆由凤城南片（含东港龙王庙、岫岩方向）途径凤城可绕行省道S208凤黄线（宝山十字路口），经省道S311鸡高线由鸡冠山镇至国道304线。（见图）</w:t>
      </w:r>
      <w:r>
        <w:rPr>
          <w:rFonts w:asciiTheme="minorEastAsia" w:hAnsiTheme="minorEastAsia" w:eastAsiaTheme="minorEastAsia"/>
          <w:sz w:val="28"/>
          <w:szCs w:val="28"/>
        </w:rPr>
        <w:drawing>
          <wp:inline distT="0" distB="0" distL="0" distR="0">
            <wp:extent cx="4574540" cy="4512945"/>
            <wp:effectExtent l="19050" t="0" r="0" b="0"/>
            <wp:docPr id="1" name="图片 1" descr="C:\Users\Administrator\Desktop\照片\QQ图片201908121023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照片\QQ图片20190812102332.png"/>
                    <pic:cNvPicPr>
                      <a:picLocks noChangeAspect="1" noChangeArrowheads="1"/>
                    </pic:cNvPicPr>
                  </pic:nvPicPr>
                  <pic:blipFill>
                    <a:blip r:embed="rId4" cstate="print"/>
                    <a:srcRect/>
                    <a:stretch>
                      <a:fillRect/>
                    </a:stretch>
                  </pic:blipFill>
                  <pic:spPr>
                    <a:xfrm>
                      <a:off x="0" y="0"/>
                      <a:ext cx="4574674" cy="4513260"/>
                    </a:xfrm>
                    <a:prstGeom prst="rect">
                      <a:avLst/>
                    </a:prstGeom>
                    <a:noFill/>
                    <a:ln w="9525">
                      <a:noFill/>
                      <a:miter lim="800000"/>
                      <a:headEnd/>
                      <a:tailEnd/>
                    </a:ln>
                  </pic:spPr>
                </pic:pic>
              </a:graphicData>
            </a:graphic>
          </wp:inline>
        </w:drawing>
      </w:r>
    </w:p>
    <w:p>
      <w:pPr>
        <w:pStyle w:val="14"/>
        <w:numPr>
          <w:ilvl w:val="0"/>
          <w:numId w:val="1"/>
        </w:numPr>
        <w:rPr>
          <w:rFonts w:asciiTheme="minorEastAsia" w:hAnsiTheme="minorEastAsia" w:eastAsiaTheme="minorEastAsia"/>
          <w:sz w:val="28"/>
          <w:szCs w:val="28"/>
        </w:rPr>
      </w:pPr>
      <w:r>
        <w:rPr>
          <w:rFonts w:hint="eastAsia" w:asciiTheme="minorEastAsia" w:hAnsiTheme="minorEastAsia" w:eastAsiaTheme="minorEastAsia"/>
          <w:sz w:val="28"/>
          <w:szCs w:val="28"/>
        </w:rPr>
        <w:t>外阜车辆途径通远堡往宝山、白旗方向可由省道311鸡高线途径鸡冠山镇经省道S208凤黄线经宝山镇。</w:t>
      </w:r>
    </w:p>
    <w:p>
      <w:pPr>
        <w:pStyle w:val="14"/>
        <w:numPr>
          <w:ilvl w:val="0"/>
          <w:numId w:val="1"/>
        </w:numPr>
        <w:rPr>
          <w:rFonts w:asciiTheme="minorEastAsia" w:hAnsiTheme="minorEastAsia" w:eastAsiaTheme="minorEastAsia"/>
          <w:sz w:val="28"/>
          <w:szCs w:val="28"/>
        </w:rPr>
      </w:pPr>
      <w:r>
        <w:rPr>
          <w:rFonts w:hint="eastAsia" w:asciiTheme="minorEastAsia" w:hAnsiTheme="minorEastAsia" w:eastAsiaTheme="minorEastAsia"/>
          <w:sz w:val="28"/>
          <w:szCs w:val="28"/>
        </w:rPr>
        <w:t>丹东方向途径凤城的外阜车辆可从丹东或五龙背高速口提前上高速。</w:t>
      </w:r>
    </w:p>
    <w:p>
      <w:pPr>
        <w:pStyle w:val="14"/>
        <w:numPr>
          <w:ilvl w:val="0"/>
          <w:numId w:val="1"/>
        </w:numPr>
        <w:rPr>
          <w:rFonts w:asciiTheme="minorEastAsia" w:hAnsiTheme="minorEastAsia" w:eastAsiaTheme="minorEastAsia"/>
          <w:sz w:val="28"/>
          <w:szCs w:val="28"/>
        </w:rPr>
      </w:pPr>
      <w:r>
        <w:rPr>
          <w:rFonts w:hint="eastAsia" w:asciiTheme="minorEastAsia" w:hAnsiTheme="minorEastAsia" w:eastAsiaTheme="minorEastAsia"/>
          <w:sz w:val="28"/>
          <w:szCs w:val="28"/>
        </w:rPr>
        <w:t>丹东、沈阳方向凤城下高速的外阜车辆经高速口转盘左转至饶盖线T型路口右转至凤城市区。</w:t>
      </w:r>
    </w:p>
    <w:p>
      <w:pPr>
        <w:pStyle w:val="14"/>
        <w:numPr>
          <w:ilvl w:val="0"/>
          <w:numId w:val="1"/>
        </w:numPr>
        <w:rPr>
          <w:rFonts w:asciiTheme="minorEastAsia" w:hAnsiTheme="minorEastAsia" w:eastAsiaTheme="minorEastAsia"/>
          <w:sz w:val="28"/>
          <w:szCs w:val="28"/>
        </w:rPr>
      </w:pPr>
      <w:r>
        <w:rPr>
          <w:rFonts w:hint="eastAsia" w:asciiTheme="minorEastAsia" w:hAnsiTheme="minorEastAsia" w:eastAsiaTheme="minorEastAsia"/>
          <w:sz w:val="28"/>
          <w:szCs w:val="28"/>
        </w:rPr>
        <w:t>爱阳、东汤方向外阜车辆途径凤城市区往丹东方向，可经由国道304线（玻璃厂信号灯岗右转）经凤凰大桥至凤华信号灯岗左转经石桥路（高架桥）直行沿饶盖线到高速公路出入口与饶盖线T型（信号灯岗）路口左转至高速入口。</w:t>
      </w:r>
    </w:p>
    <w:p>
      <w:pPr>
        <w:pStyle w:val="14"/>
        <w:ind w:left="855"/>
        <w:rPr>
          <w:rFonts w:asciiTheme="minorEastAsia" w:hAnsiTheme="minorEastAsia" w:eastAsiaTheme="minorEastAsia"/>
          <w:sz w:val="28"/>
          <w:szCs w:val="28"/>
        </w:rPr>
      </w:pPr>
      <w:r>
        <w:rPr>
          <w:rFonts w:hint="eastAsia" w:asciiTheme="minorEastAsia" w:hAnsiTheme="minorEastAsia" w:eastAsiaTheme="minorEastAsia"/>
          <w:sz w:val="28"/>
          <w:szCs w:val="28"/>
        </w:rPr>
        <w:t>提示：</w:t>
      </w:r>
    </w:p>
    <w:p>
      <w:pPr>
        <w:pStyle w:val="14"/>
        <w:numPr>
          <w:ilvl w:val="0"/>
          <w:numId w:val="2"/>
        </w:numPr>
        <w:rPr>
          <w:rFonts w:asciiTheme="minorEastAsia" w:hAnsiTheme="minorEastAsia" w:eastAsiaTheme="minorEastAsia"/>
          <w:sz w:val="28"/>
          <w:szCs w:val="28"/>
        </w:rPr>
      </w:pPr>
      <w:r>
        <w:rPr>
          <w:rFonts w:hint="eastAsia" w:asciiTheme="minorEastAsia" w:hAnsiTheme="minorEastAsia" w:eastAsiaTheme="minorEastAsia"/>
          <w:sz w:val="28"/>
          <w:szCs w:val="28"/>
        </w:rPr>
        <w:t>外阜途径凤城或到凤凰山景区的车辆和游人请提前安排绕行路线，以免影响出行。</w:t>
      </w:r>
    </w:p>
    <w:p>
      <w:pPr>
        <w:pStyle w:val="14"/>
        <w:numPr>
          <w:ilvl w:val="0"/>
          <w:numId w:val="2"/>
        </w:numPr>
        <w:rPr>
          <w:rFonts w:asciiTheme="minorEastAsia" w:hAnsiTheme="minorEastAsia" w:eastAsiaTheme="minorEastAsia"/>
          <w:sz w:val="28"/>
          <w:szCs w:val="28"/>
        </w:rPr>
      </w:pPr>
      <w:r>
        <w:rPr>
          <w:rFonts w:hint="eastAsia" w:asciiTheme="minorEastAsia" w:hAnsiTheme="minorEastAsia" w:eastAsiaTheme="minorEastAsia"/>
          <w:sz w:val="28"/>
          <w:szCs w:val="28"/>
        </w:rPr>
        <w:t>凤城市区广大市民和比赛沿线单位的车辆请提前安排好绕行路线，以免影响出行。</w:t>
      </w:r>
    </w:p>
    <w:p>
      <w:pPr>
        <w:pStyle w:val="14"/>
        <w:ind w:left="855"/>
        <w:rPr>
          <w:rFonts w:asciiTheme="minorEastAsia" w:hAnsiTheme="minorEastAsia" w:eastAsiaTheme="minorEastAsia"/>
          <w:sz w:val="28"/>
          <w:szCs w:val="28"/>
        </w:rPr>
      </w:pPr>
      <w:r>
        <w:rPr>
          <w:rFonts w:hint="eastAsia" w:asciiTheme="minorEastAsia" w:hAnsiTheme="minorEastAsia" w:eastAsiaTheme="minorEastAsia"/>
          <w:sz w:val="28"/>
          <w:szCs w:val="28"/>
        </w:rPr>
        <w:t>请社会单位和各界群众理解、支持，自觉遵照执行。</w:t>
      </w:r>
    </w:p>
    <w:p>
      <w:pPr>
        <w:pStyle w:val="14"/>
        <w:ind w:left="855"/>
        <w:rPr>
          <w:rFonts w:asciiTheme="minorEastAsia" w:hAnsiTheme="minorEastAsia" w:eastAsiaTheme="minorEastAsia"/>
          <w:sz w:val="28"/>
          <w:szCs w:val="28"/>
        </w:rPr>
      </w:pPr>
    </w:p>
    <w:p>
      <w:pPr>
        <w:pStyle w:val="14"/>
        <w:ind w:left="855"/>
        <w:rPr>
          <w:rFonts w:asciiTheme="minorEastAsia" w:hAnsiTheme="minorEastAsia" w:eastAsiaTheme="minorEastAsia"/>
          <w:sz w:val="28"/>
          <w:szCs w:val="28"/>
        </w:rPr>
      </w:pPr>
    </w:p>
    <w:p>
      <w:pPr>
        <w:pStyle w:val="14"/>
        <w:ind w:left="855"/>
        <w:rPr>
          <w:rFonts w:asciiTheme="minorEastAsia" w:hAnsiTheme="minorEastAsia" w:eastAsiaTheme="minorEastAsia"/>
          <w:sz w:val="28"/>
          <w:szCs w:val="28"/>
        </w:rPr>
      </w:pPr>
      <w:r>
        <w:rPr>
          <w:rFonts w:hint="eastAsia" w:asciiTheme="minorEastAsia" w:hAnsiTheme="minorEastAsia" w:eastAsiaTheme="minorEastAsia"/>
          <w:sz w:val="28"/>
          <w:szCs w:val="28"/>
        </w:rPr>
        <w:t>特此通告</w:t>
      </w:r>
    </w:p>
    <w:p>
      <w:pPr>
        <w:pStyle w:val="14"/>
        <w:ind w:left="855"/>
        <w:rPr>
          <w:rFonts w:asciiTheme="minorEastAsia" w:hAnsiTheme="minorEastAsia" w:eastAsiaTheme="minorEastAsia"/>
          <w:sz w:val="28"/>
          <w:szCs w:val="28"/>
        </w:rPr>
      </w:pPr>
    </w:p>
    <w:p>
      <w:pPr>
        <w:pStyle w:val="14"/>
        <w:ind w:left="855"/>
        <w:rPr>
          <w:rFonts w:asciiTheme="minorEastAsia" w:hAnsiTheme="minorEastAsia" w:eastAsiaTheme="minorEastAsia"/>
          <w:sz w:val="28"/>
          <w:szCs w:val="28"/>
        </w:rPr>
      </w:pPr>
    </w:p>
    <w:p>
      <w:pPr>
        <w:pStyle w:val="14"/>
        <w:ind w:left="855"/>
        <w:rPr>
          <w:rFonts w:asciiTheme="minorEastAsia" w:hAnsiTheme="minorEastAsia" w:eastAsiaTheme="minorEastAsia"/>
          <w:sz w:val="28"/>
          <w:szCs w:val="28"/>
        </w:rPr>
      </w:pPr>
    </w:p>
    <w:p>
      <w:pPr>
        <w:pStyle w:val="14"/>
        <w:ind w:left="855"/>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凤城市公安局</w:t>
      </w:r>
    </w:p>
    <w:p>
      <w:pPr>
        <w:pStyle w:val="14"/>
        <w:ind w:left="855"/>
        <w:rPr>
          <w:rFonts w:asciiTheme="minorEastAsia" w:hAnsiTheme="minorEastAsia" w:eastAsiaTheme="minorEastAsia"/>
          <w:sz w:val="28"/>
          <w:szCs w:val="28"/>
        </w:rPr>
      </w:pPr>
    </w:p>
    <w:p>
      <w:pPr>
        <w:pStyle w:val="14"/>
        <w:ind w:left="855"/>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2019年9月12日</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E7E08"/>
    <w:multiLevelType w:val="multilevel"/>
    <w:tmpl w:val="34CE7E08"/>
    <w:lvl w:ilvl="0" w:tentative="0">
      <w:start w:val="1"/>
      <w:numFmt w:val="japaneseCounting"/>
      <w:lvlText w:val="（%1）"/>
      <w:lvlJc w:val="left"/>
      <w:pPr>
        <w:ind w:left="855" w:hanging="8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C524768"/>
    <w:multiLevelType w:val="multilevel"/>
    <w:tmpl w:val="3C524768"/>
    <w:lvl w:ilvl="0" w:tentative="0">
      <w:start w:val="1"/>
      <w:numFmt w:val="japaneseCounting"/>
      <w:lvlText w:val="（%1）"/>
      <w:lvlJc w:val="left"/>
      <w:pPr>
        <w:ind w:left="855" w:hanging="8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93E98"/>
    <w:rsid w:val="000B7831"/>
    <w:rsid w:val="00114993"/>
    <w:rsid w:val="00125789"/>
    <w:rsid w:val="00141537"/>
    <w:rsid w:val="001B1EFE"/>
    <w:rsid w:val="00204AE6"/>
    <w:rsid w:val="0025613F"/>
    <w:rsid w:val="002F11AE"/>
    <w:rsid w:val="00323B43"/>
    <w:rsid w:val="003D37D8"/>
    <w:rsid w:val="004054FA"/>
    <w:rsid w:val="00426133"/>
    <w:rsid w:val="00431031"/>
    <w:rsid w:val="004358AB"/>
    <w:rsid w:val="004F2A33"/>
    <w:rsid w:val="00500789"/>
    <w:rsid w:val="00511545"/>
    <w:rsid w:val="0053529D"/>
    <w:rsid w:val="00567D2C"/>
    <w:rsid w:val="00582C3A"/>
    <w:rsid w:val="005C7331"/>
    <w:rsid w:val="00685FD8"/>
    <w:rsid w:val="006D2059"/>
    <w:rsid w:val="006D41F9"/>
    <w:rsid w:val="006F54C7"/>
    <w:rsid w:val="0076753B"/>
    <w:rsid w:val="00812F44"/>
    <w:rsid w:val="008479AD"/>
    <w:rsid w:val="008B7726"/>
    <w:rsid w:val="008C0D53"/>
    <w:rsid w:val="008D5029"/>
    <w:rsid w:val="00976465"/>
    <w:rsid w:val="00981706"/>
    <w:rsid w:val="009F5DBD"/>
    <w:rsid w:val="00A12A2E"/>
    <w:rsid w:val="00AC5B95"/>
    <w:rsid w:val="00B559DC"/>
    <w:rsid w:val="00B56DAA"/>
    <w:rsid w:val="00BB09E1"/>
    <w:rsid w:val="00CA6A8F"/>
    <w:rsid w:val="00CF2BB0"/>
    <w:rsid w:val="00D31D50"/>
    <w:rsid w:val="00D6576D"/>
    <w:rsid w:val="00D756C1"/>
    <w:rsid w:val="00DB41A7"/>
    <w:rsid w:val="00E12F34"/>
    <w:rsid w:val="00E33437"/>
    <w:rsid w:val="00E528F2"/>
    <w:rsid w:val="00E8700B"/>
    <w:rsid w:val="00F00179"/>
    <w:rsid w:val="00F07801"/>
    <w:rsid w:val="00FB2C0D"/>
    <w:rsid w:val="00FD3137"/>
    <w:rsid w:val="50A72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2"/>
    <w:basedOn w:val="1"/>
    <w:next w:val="1"/>
    <w:link w:val="13"/>
    <w:qFormat/>
    <w:uiPriority w:val="9"/>
    <w:pPr>
      <w:adjustRightInd/>
      <w:snapToGrid/>
      <w:spacing w:before="100" w:beforeAutospacing="1" w:after="100" w:afterAutospacing="1"/>
      <w:outlineLvl w:val="1"/>
    </w:pPr>
    <w:rPr>
      <w:rFonts w:ascii="宋体" w:hAnsi="宋体" w:eastAsia="宋体" w:cs="宋体"/>
      <w:b/>
      <w:bCs/>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5"/>
    <w:semiHidden/>
    <w:unhideWhenUsed/>
    <w:uiPriority w:val="99"/>
    <w:pPr>
      <w:spacing w:after="0"/>
    </w:pPr>
    <w:rPr>
      <w:sz w:val="18"/>
      <w:szCs w:val="18"/>
    </w:rPr>
  </w:style>
  <w:style w:type="paragraph" w:styleId="4">
    <w:name w:val="footer"/>
    <w:basedOn w:val="1"/>
    <w:link w:val="12"/>
    <w:semiHidden/>
    <w:unhideWhenUsed/>
    <w:uiPriority w:val="99"/>
    <w:pPr>
      <w:tabs>
        <w:tab w:val="center" w:pos="4153"/>
        <w:tab w:val="right" w:pos="8306"/>
      </w:tabs>
    </w:pPr>
    <w:rPr>
      <w:sz w:val="18"/>
      <w:szCs w:val="18"/>
    </w:rPr>
  </w:style>
  <w:style w:type="paragraph" w:styleId="5">
    <w:name w:val="header"/>
    <w:basedOn w:val="1"/>
    <w:link w:val="11"/>
    <w:semiHidden/>
    <w:unhideWhenUsed/>
    <w:uiPriority w:val="99"/>
    <w:pPr>
      <w:pBdr>
        <w:bottom w:val="single" w:color="auto" w:sz="6" w:space="1"/>
      </w:pBdr>
      <w:tabs>
        <w:tab w:val="center" w:pos="4153"/>
        <w:tab w:val="right" w:pos="8306"/>
      </w:tabs>
      <w:jc w:val="center"/>
    </w:pPr>
    <w:rPr>
      <w:sz w:val="18"/>
      <w:szCs w:val="18"/>
    </w:rPr>
  </w:style>
  <w:style w:type="paragraph" w:styleId="6">
    <w:name w:val="Normal (Web)"/>
    <w:basedOn w:val="1"/>
    <w:semiHidden/>
    <w:unhideWhenUsed/>
    <w:uiPriority w:val="99"/>
    <w:pPr>
      <w:adjustRightInd/>
      <w:snapToGrid/>
      <w:spacing w:before="100" w:beforeAutospacing="1" w:after="100" w:afterAutospacing="1"/>
    </w:pPr>
    <w:rPr>
      <w:rFonts w:ascii="宋体" w:hAnsi="宋体" w:eastAsia="宋体" w:cs="宋体"/>
      <w:sz w:val="24"/>
      <w:szCs w:val="24"/>
    </w:rPr>
  </w:style>
  <w:style w:type="character" w:styleId="9">
    <w:name w:val="Strong"/>
    <w:basedOn w:val="8"/>
    <w:qFormat/>
    <w:uiPriority w:val="22"/>
    <w:rPr>
      <w:b/>
      <w:bCs/>
    </w:rPr>
  </w:style>
  <w:style w:type="character" w:styleId="10">
    <w:name w:val="Hyperlink"/>
    <w:basedOn w:val="8"/>
    <w:unhideWhenUsed/>
    <w:uiPriority w:val="99"/>
    <w:rPr>
      <w:color w:val="0000FF"/>
      <w:u w:val="single"/>
    </w:rPr>
  </w:style>
  <w:style w:type="character" w:customStyle="1" w:styleId="11">
    <w:name w:val="页眉 Char"/>
    <w:basedOn w:val="8"/>
    <w:link w:val="5"/>
    <w:semiHidden/>
    <w:uiPriority w:val="99"/>
    <w:rPr>
      <w:rFonts w:ascii="Tahoma" w:hAnsi="Tahoma"/>
      <w:sz w:val="18"/>
      <w:szCs w:val="18"/>
    </w:rPr>
  </w:style>
  <w:style w:type="character" w:customStyle="1" w:styleId="12">
    <w:name w:val="页脚 Char"/>
    <w:basedOn w:val="8"/>
    <w:link w:val="4"/>
    <w:semiHidden/>
    <w:uiPriority w:val="99"/>
    <w:rPr>
      <w:rFonts w:ascii="Tahoma" w:hAnsi="Tahoma"/>
      <w:sz w:val="18"/>
      <w:szCs w:val="18"/>
    </w:rPr>
  </w:style>
  <w:style w:type="character" w:customStyle="1" w:styleId="13">
    <w:name w:val="标题 2 Char"/>
    <w:basedOn w:val="8"/>
    <w:link w:val="2"/>
    <w:uiPriority w:val="9"/>
    <w:rPr>
      <w:rFonts w:ascii="宋体" w:hAnsi="宋体" w:eastAsia="宋体" w:cs="宋体"/>
      <w:b/>
      <w:bCs/>
      <w:sz w:val="36"/>
      <w:szCs w:val="36"/>
    </w:rPr>
  </w:style>
  <w:style w:type="paragraph" w:styleId="14">
    <w:name w:val="No Spacing"/>
    <w:qFormat/>
    <w:uiPriority w:val="1"/>
    <w:pPr>
      <w:adjustRightInd w:val="0"/>
      <w:snapToGrid w:val="0"/>
      <w:spacing w:after="0" w:line="240" w:lineRule="auto"/>
    </w:pPr>
    <w:rPr>
      <w:rFonts w:ascii="Tahoma" w:hAnsi="Tahoma" w:eastAsia="微软雅黑" w:cstheme="minorBidi"/>
      <w:sz w:val="22"/>
      <w:szCs w:val="22"/>
      <w:lang w:val="en-US" w:eastAsia="zh-CN" w:bidi="ar-SA"/>
    </w:rPr>
  </w:style>
  <w:style w:type="character" w:customStyle="1" w:styleId="15">
    <w:name w:val="批注框文本 Char"/>
    <w:basedOn w:val="8"/>
    <w:link w:val="3"/>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263</Words>
  <Characters>1502</Characters>
  <Lines>12</Lines>
  <Paragraphs>3</Paragraphs>
  <TotalTime>152</TotalTime>
  <ScaleCrop>false</ScaleCrop>
  <LinksUpToDate>false</LinksUpToDate>
  <CharactersWithSpaces>1762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那时花开(o^^o)</cp:lastModifiedBy>
  <cp:lastPrinted>2019-08-19T01:25:00Z</cp:lastPrinted>
  <dcterms:modified xsi:type="dcterms:W3CDTF">2019-09-12T06:25:40Z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